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35D6" w14:textId="77777777" w:rsidR="00615946" w:rsidRDefault="009C6C27">
      <w:r>
        <w:rPr>
          <w:rFonts w:ascii="Georgia" w:eastAsia="Georgia" w:hAnsi="Georgia" w:cs="Georgia"/>
          <w:b/>
          <w:bCs/>
          <w:caps/>
          <w:color w:val="4C0013"/>
          <w:spacing w:val="20"/>
          <w:sz w:val="19"/>
          <w:szCs w:val="19"/>
        </w:rPr>
        <w:t>BY-THE-BOOK WORKPLACE INVESTIGATIONS</w:t>
      </w:r>
    </w:p>
    <w:p w14:paraId="558E532B" w14:textId="77777777" w:rsidR="00615946" w:rsidRDefault="009C6C27">
      <w:pPr>
        <w:spacing w:after="60"/>
      </w:pPr>
      <w:r>
        <w:rPr>
          <w:rFonts w:ascii="Georgia" w:eastAsia="Georgia" w:hAnsi="Georgia" w:cs="Georgia"/>
          <w:i/>
          <w:iCs/>
          <w:color w:val="8A8D8F"/>
          <w:sz w:val="16"/>
          <w:szCs w:val="16"/>
        </w:rPr>
        <w:t>Precision in Process. Integrity in Practice.</w:t>
      </w:r>
    </w:p>
    <w:p w14:paraId="50197F59" w14:textId="77777777" w:rsidR="00615946" w:rsidRDefault="00615946">
      <w:pPr>
        <w:pBdr>
          <w:bottom w:val="single" w:sz="10" w:space="2" w:color="4C0013"/>
        </w:pBdr>
        <w:spacing w:after="140"/>
      </w:pPr>
    </w:p>
    <w:p w14:paraId="7D37544B" w14:textId="77777777" w:rsidR="00615946" w:rsidRDefault="009C6C27">
      <w:pPr>
        <w:spacing w:after="20"/>
      </w:pPr>
      <w:r>
        <w:rPr>
          <w:rFonts w:ascii="Georgia" w:eastAsia="Georgia" w:hAnsi="Georgia" w:cs="Georgia"/>
          <w:b/>
          <w:bCs/>
          <w:color w:val="0A1A33"/>
          <w:sz w:val="32"/>
          <w:szCs w:val="32"/>
        </w:rPr>
        <w:t>Due Diligence Inquiry</w:t>
      </w:r>
    </w:p>
    <w:p w14:paraId="4EA9AEB7" w14:textId="77777777" w:rsidR="00615946" w:rsidRDefault="009C6C27">
      <w:pPr>
        <w:spacing w:after="60"/>
      </w:pP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Preliminary factual review — before you route</w:t>
      </w:r>
    </w:p>
    <w:tbl>
      <w:tblPr>
        <w:tblW w:w="10080" w:type="dxa"/>
        <w:tblBorders>
          <w:top w:val="single" w:sz="4" w:space="0" w:color="4C0013"/>
          <w:left w:val="single" w:sz="4" w:space="0" w:color="4C0013"/>
          <w:bottom w:val="single" w:sz="4" w:space="0" w:color="4C0013"/>
          <w:right w:val="single" w:sz="4" w:space="0" w:color="4C0013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615946" w14:paraId="4FFBCE5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F1F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A08ADB" w14:textId="77777777" w:rsidR="00615946" w:rsidRDefault="009C6C27">
            <w:r>
              <w:rPr>
                <w:rFonts w:ascii="Georgia" w:eastAsia="Georgia" w:hAnsi="Georgia" w:cs="Georgia"/>
                <w:b/>
                <w:bCs/>
                <w:caps/>
                <w:color w:val="4C0013"/>
                <w:sz w:val="17"/>
                <w:szCs w:val="17"/>
              </w:rPr>
              <w:t xml:space="preserve">TEMPLATE  </w:t>
            </w:r>
            <w:r>
              <w:rPr>
                <w:rFonts w:ascii="Georgia" w:eastAsia="Georgia" w:hAnsi="Georgia" w:cs="Georgia"/>
                <w:i/>
                <w:iCs/>
                <w:color w:val="0A1A33"/>
                <w:sz w:val="17"/>
                <w:szCs w:val="17"/>
              </w:rPr>
              <w:t>Replace all [bracketed] text and adapt to your organization’s letterhead, policy names, and voice. Delete this note and any guidance before filing.</w:t>
            </w:r>
          </w:p>
        </w:tc>
      </w:tr>
    </w:tbl>
    <w:p w14:paraId="0A28F20D" w14:textId="77777777" w:rsidR="00615946" w:rsidRDefault="009C6C27">
      <w:pPr>
        <w:spacing w:before="120" w:after="40"/>
      </w:pPr>
      <w:r>
        <w:rPr>
          <w:rFonts w:ascii="Georgia" w:eastAsia="Georgia" w:hAnsi="Georgia" w:cs="Georgia"/>
          <w:b/>
          <w:bCs/>
          <w:caps/>
          <w:color w:val="4C0013"/>
          <w:sz w:val="18"/>
          <w:szCs w:val="18"/>
        </w:rPr>
        <w:t>PRIVATE &amp; CONFIDENTIAL</w:t>
      </w:r>
    </w:p>
    <w:p w14:paraId="5FDA8089" w14:textId="77777777" w:rsidR="00615946" w:rsidRDefault="009C6C27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 xml:space="preserve">Run this inquiry at the onset of every concern. It tests whether the facts </w:t>
      </w:r>
      <w:proofErr w:type="gramStart"/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hold</w:t>
      </w:r>
      <w:proofErr w:type="gramEnd"/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 xml:space="preserve"> before you commit to a formal investigation. Due diligence earns the right to formalize.</w:t>
      </w:r>
    </w:p>
    <w:p w14:paraId="5C82013A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Matter identification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single" w:sz="4" w:space="0" w:color="D3D5D7"/>
          <w:right w:val="none" w:sz="0" w:space="0" w:color="FFFFFF"/>
          <w:insideH w:val="single" w:sz="4" w:space="0" w:color="D3D5D7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880"/>
      </w:tblGrid>
      <w:tr w:rsidR="00615946" w14:paraId="5058B93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0275F8C6" w14:textId="77777777" w:rsidR="00615946" w:rsidRDefault="009C6C27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Case / reference #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02D56A39" w14:textId="77777777" w:rsidR="00615946" w:rsidRDefault="009C6C27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[Case #]</w:t>
            </w:r>
          </w:p>
        </w:tc>
      </w:tr>
      <w:tr w:rsidR="00615946" w14:paraId="5D9D9D9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76C65FC5" w14:textId="77777777" w:rsidR="00615946" w:rsidRDefault="009C6C27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Date reported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3354F73D" w14:textId="77777777" w:rsidR="00615946" w:rsidRDefault="009C6C27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[Date]</w:t>
            </w:r>
          </w:p>
        </w:tc>
      </w:tr>
      <w:tr w:rsidR="00615946" w14:paraId="26AF2E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02B2F602" w14:textId="77777777" w:rsidR="00615946" w:rsidRDefault="009C6C27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Reported via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269469E5" w14:textId="77777777" w:rsidR="00615946" w:rsidRDefault="009C6C27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[NAVEX / other]</w:t>
            </w:r>
          </w:p>
        </w:tc>
      </w:tr>
      <w:tr w:rsidR="00615946" w14:paraId="5A505D2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299385A6" w14:textId="77777777" w:rsidR="00615946" w:rsidRDefault="009C6C27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Intake by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B7B0A8C" w14:textId="77777777" w:rsidR="00615946" w:rsidRDefault="009C6C27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[Name, title]</w:t>
            </w:r>
          </w:p>
        </w:tc>
      </w:tr>
      <w:tr w:rsidR="00615946" w14:paraId="4B5D8FF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58124ECC" w14:textId="77777777" w:rsidR="00615946" w:rsidRDefault="009C6C27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Complainant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5165D9B3" w14:textId="77777777" w:rsidR="00615946" w:rsidRDefault="009C6C27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[Name]</w:t>
            </w:r>
          </w:p>
        </w:tc>
      </w:tr>
      <w:tr w:rsidR="00615946" w14:paraId="3A7B1B0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5F685B01" w14:textId="77777777" w:rsidR="00615946" w:rsidRDefault="009C6C27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Respondent(s)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41782DA0" w14:textId="77777777" w:rsidR="00615946" w:rsidRDefault="009C6C27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[Name(s)]</w:t>
            </w:r>
          </w:p>
        </w:tc>
      </w:tr>
    </w:tbl>
    <w:p w14:paraId="1FC9D050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The claim, as captured</w:t>
      </w:r>
    </w:p>
    <w:p w14:paraId="1C4959F1" w14:textId="77777777" w:rsidR="00615946" w:rsidRDefault="009C6C27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State the claim exactly as the complainant framed it. Be precise: “I applied and wasn’t selected” is a different claim than “less-qualified people got the jobs.” The precision here decides the analysis later.</w:t>
      </w:r>
    </w:p>
    <w:p w14:paraId="450C33F7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What is alleged — the specific conduct: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[Describe the conduct alleged, in the complainant’s terms]</w:t>
      </w:r>
    </w:p>
    <w:p w14:paraId="0032542A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When and where: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[Dates, timeframe, location]</w:t>
      </w:r>
    </w:p>
    <w:p w14:paraId="25D38309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Who is involved: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[Parties and anyone else named]</w:t>
      </w:r>
    </w:p>
    <w:p w14:paraId="3E56B774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The </w:t>
      </w:r>
      <w:proofErr w:type="gramStart"/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complainant’s</w:t>
      </w:r>
      <w:proofErr w:type="gramEnd"/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 stated reason — their ‘why’: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 xml:space="preserve">[Why do they believe they were treated this </w:t>
      </w:r>
      <w:proofErr w:type="gramStart"/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way?]</w:t>
      </w:r>
      <w:proofErr w:type="gramEnd"/>
    </w:p>
    <w:p w14:paraId="1FC8B46F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Characterize — Gate 1</w:t>
      </w:r>
    </w:p>
    <w:p w14:paraId="71BED140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Is this a protected-class matter or an employee-relations matter?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[Protected class / Employee relations]</w:t>
      </w:r>
    </w:p>
    <w:p w14:paraId="406E76AA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If protected class — which characteristic: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[e.g., age, sex, race, disability]</w:t>
      </w:r>
    </w:p>
    <w:p w14:paraId="68CB3FAE" w14:textId="0281E9A1" w:rsidR="00615946" w:rsidRDefault="005877AA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15224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Federal (the floor)</w:t>
      </w:r>
      <w:r w:rsidR="009C6C27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736354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NY State</w:t>
      </w:r>
      <w:r w:rsidR="009C6C27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76738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NYC — flag for legal</w:t>
      </w:r>
      <w:r w:rsidR="009C6C27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585250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Internal (your policy)</w:t>
      </w:r>
    </w:p>
    <w:p w14:paraId="5856F3F0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Paramount question — Gate 2</w:t>
      </w:r>
    </w:p>
    <w:p w14:paraId="1AD93673" w14:textId="77777777" w:rsidR="00615946" w:rsidRDefault="009C6C27">
      <w:pPr>
        <w:spacing w:after="80"/>
      </w:pPr>
      <w:r>
        <w:rPr>
          <w:rFonts w:ascii="Georgia" w:eastAsia="Georgia" w:hAnsi="Georgia" w:cs="Georgia"/>
          <w:b/>
          <w:bCs/>
          <w:color w:val="0A1A33"/>
        </w:rPr>
        <w:t>“If proven true, exactly as described, would it violate our policy?”</w:t>
      </w:r>
    </w:p>
    <w:p w14:paraId="1A0AA1B6" w14:textId="30574E25" w:rsidR="00615946" w:rsidRDefault="005877AA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5744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Yes — it clears the gate</w:t>
      </w:r>
      <w:r w:rsidR="009C6C27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596144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No — non-jurisdictional; document and close</w:t>
      </w:r>
    </w:p>
    <w:p w14:paraId="24EA84FB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Policy at issue: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[Name the specific policy or standard]</w:t>
      </w:r>
    </w:p>
    <w:p w14:paraId="53FC5E0F" w14:textId="77777777" w:rsidR="00615946" w:rsidRDefault="009C6C27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A ‘Yes’ clears the gate — it does not mean ‘formal.’ Run the inquiry below before you decide.</w:t>
      </w:r>
    </w:p>
    <w:p w14:paraId="13B14D3A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The inquiry</w:t>
      </w:r>
    </w:p>
    <w:p w14:paraId="13EC7381" w14:textId="77777777" w:rsidR="00615946" w:rsidRDefault="009C6C27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List what you must verify to test whether the facts hold. Pull the documents, check with the people, review the records — before you formalize.</w:t>
      </w:r>
    </w:p>
    <w:tbl>
      <w:tblPr>
        <w:tblW w:w="10080" w:type="dxa"/>
        <w:tblBorders>
          <w:top w:val="single" w:sz="4" w:space="0" w:color="D3D5D7"/>
          <w:left w:val="single" w:sz="4" w:space="0" w:color="D3D5D7"/>
          <w:bottom w:val="single" w:sz="4" w:space="0" w:color="D3D5D7"/>
          <w:right w:val="single" w:sz="4" w:space="0" w:color="D3D5D7"/>
          <w:insideH w:val="single" w:sz="4" w:space="0" w:color="D3D5D7"/>
          <w:insideV w:val="single" w:sz="4" w:space="0" w:color="D3D5D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0"/>
        <w:gridCol w:w="2680"/>
        <w:gridCol w:w="2560"/>
        <w:gridCol w:w="2160"/>
      </w:tblGrid>
      <w:tr w:rsidR="00615946" w14:paraId="3EA0C6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8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117CFA3" w14:textId="77777777" w:rsidR="00615946" w:rsidRDefault="009C6C27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lastRenderedPageBreak/>
              <w:t>Item to verify</w:t>
            </w:r>
          </w:p>
        </w:tc>
        <w:tc>
          <w:tcPr>
            <w:tcW w:w="268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858DC3" w14:textId="77777777" w:rsidR="00615946" w:rsidRDefault="009C6C27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Source (document / person)</w:t>
            </w:r>
          </w:p>
        </w:tc>
        <w:tc>
          <w:tcPr>
            <w:tcW w:w="25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9C3AE5" w14:textId="77777777" w:rsidR="00615946" w:rsidRDefault="009C6C27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What it would show</w:t>
            </w:r>
          </w:p>
        </w:tc>
        <w:tc>
          <w:tcPr>
            <w:tcW w:w="21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8C40DA" w14:textId="77777777" w:rsidR="00615946" w:rsidRDefault="009C6C27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Result</w:t>
            </w:r>
          </w:p>
        </w:tc>
      </w:tr>
      <w:tr w:rsidR="00615946" w14:paraId="7865C5E7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8FE7894" w14:textId="77777777" w:rsidR="00615946" w:rsidRDefault="00615946"/>
        </w:tc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64A71A" w14:textId="77777777" w:rsidR="00615946" w:rsidRDefault="00615946"/>
        </w:tc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6B420C" w14:textId="77777777" w:rsidR="00615946" w:rsidRDefault="00615946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AD1A9A4" w14:textId="77777777" w:rsidR="00615946" w:rsidRDefault="00615946"/>
        </w:tc>
      </w:tr>
      <w:tr w:rsidR="00615946" w14:paraId="00BD6AC9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661A23" w14:textId="77777777" w:rsidR="00615946" w:rsidRDefault="00615946"/>
        </w:tc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F05AE39" w14:textId="77777777" w:rsidR="00615946" w:rsidRDefault="00615946"/>
        </w:tc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7F97DC7" w14:textId="77777777" w:rsidR="00615946" w:rsidRDefault="00615946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5AF032" w14:textId="77777777" w:rsidR="00615946" w:rsidRDefault="00615946"/>
        </w:tc>
      </w:tr>
      <w:tr w:rsidR="00615946" w14:paraId="6739C978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DB65278" w14:textId="281404C6" w:rsidR="00615946" w:rsidRDefault="00615946"/>
        </w:tc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86C14D" w14:textId="77777777" w:rsidR="00615946" w:rsidRDefault="00615946"/>
        </w:tc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AB28829" w14:textId="77777777" w:rsidR="00615946" w:rsidRDefault="00615946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1E308F" w14:textId="77777777" w:rsidR="00615946" w:rsidRDefault="00615946"/>
        </w:tc>
      </w:tr>
      <w:tr w:rsidR="00615946" w14:paraId="4AF5F84D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EF2F39C" w14:textId="77777777" w:rsidR="00615946" w:rsidRDefault="00615946"/>
        </w:tc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9787A8B" w14:textId="77777777" w:rsidR="00615946" w:rsidRDefault="00615946"/>
        </w:tc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E01FC4A" w14:textId="77777777" w:rsidR="00615946" w:rsidRDefault="00615946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D387BE7" w14:textId="77777777" w:rsidR="00615946" w:rsidRDefault="00615946"/>
        </w:tc>
      </w:tr>
      <w:tr w:rsidR="00615946" w14:paraId="49E6449D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438254" w14:textId="77777777" w:rsidR="00615946" w:rsidRDefault="00615946"/>
        </w:tc>
        <w:tc>
          <w:tcPr>
            <w:tcW w:w="26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DEBC0FD" w14:textId="77777777" w:rsidR="00615946" w:rsidRDefault="00615946"/>
        </w:tc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8574FAD" w14:textId="77777777" w:rsidR="00615946" w:rsidRDefault="00615946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898684E" w14:textId="77777777" w:rsidR="00615946" w:rsidRDefault="00615946"/>
        </w:tc>
      </w:tr>
    </w:tbl>
    <w:p w14:paraId="21E3116E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Findings</w:t>
      </w:r>
    </w:p>
    <w:p w14:paraId="1F206D00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Do the facts hold? Summarize what the inquiry showed: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[Your findings from the inquiry]</w:t>
      </w:r>
    </w:p>
    <w:p w14:paraId="3A0249C7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Rebuttal loop</w:t>
      </w:r>
    </w:p>
    <w:p w14:paraId="04D53AA7" w14:textId="77777777" w:rsidR="00615946" w:rsidRDefault="009C6C27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If the inquiry contradicts the complaint, give the complainant a chance to respond before you close.</w:t>
      </w:r>
    </w:p>
    <w:p w14:paraId="0337C69A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Contradiction identified: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[What the inquiry found that conflicts with the complaint]</w:t>
      </w:r>
    </w:p>
    <w:p w14:paraId="0DCAC2B0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Complainant’s response: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[What they said when given the chance to respond]</w:t>
      </w:r>
    </w:p>
    <w:p w14:paraId="369B8B05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Outcome: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[Does the response resolve the contradiction?]</w:t>
      </w:r>
    </w:p>
    <w:p w14:paraId="08310853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Routing recommendation</w:t>
      </w:r>
    </w:p>
    <w:p w14:paraId="5C1912E5" w14:textId="77777777" w:rsidR="00615946" w:rsidRDefault="009C6C27">
      <w:pPr>
        <w:spacing w:after="80"/>
      </w:pPr>
      <w:r>
        <w:rPr>
          <w:rFonts w:ascii="Georgia" w:eastAsia="Georgia" w:hAnsi="Georgia" w:cs="Georgia"/>
          <w:b/>
          <w:bCs/>
          <w:color w:val="0A1A33"/>
        </w:rPr>
        <w:t>Based on the inquiry, this matter should be:</w:t>
      </w:r>
    </w:p>
    <w:p w14:paraId="48F6C49E" w14:textId="694B27A0" w:rsidR="00615946" w:rsidRDefault="005877AA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002166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Formal investigation</w:t>
      </w:r>
      <w:r w:rsidR="009C6C27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994228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Informal resolution</w:t>
      </w:r>
      <w:r w:rsidR="009C6C27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759983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9C6C27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9C6C27">
        <w:rPr>
          <w:rFonts w:ascii="Georgia" w:eastAsia="Georgia" w:hAnsi="Georgia" w:cs="Georgia"/>
          <w:color w:val="0A1A33"/>
          <w:sz w:val="19"/>
          <w:szCs w:val="19"/>
        </w:rPr>
        <w:t>Closed</w:t>
      </w:r>
    </w:p>
    <w:p w14:paraId="3DE1AAAE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If closed — reason: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[Non-jurisdictional / credibility / legitimate documented reason / other]</w:t>
      </w:r>
    </w:p>
    <w:p w14:paraId="155DA16A" w14:textId="77777777" w:rsidR="00615946" w:rsidRDefault="009C6C27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Rationale: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[Tie the recommendation to what the inquiry showed]</w:t>
      </w:r>
    </w:p>
    <w:p w14:paraId="44062EEF" w14:textId="77777777" w:rsidR="00615946" w:rsidRDefault="009C6C27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Prepared by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615946" w14:paraId="2D36F447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>
              <w:right w:w="200" w:type="dxa"/>
            </w:tcMar>
          </w:tcPr>
          <w:p w14:paraId="3C434EFB" w14:textId="77777777" w:rsidR="00615946" w:rsidRDefault="00615946">
            <w:pPr>
              <w:pBdr>
                <w:bottom w:val="single" w:sz="4" w:space="2" w:color="0A1A33"/>
              </w:pBdr>
              <w:spacing w:before="260"/>
            </w:pPr>
          </w:p>
          <w:p w14:paraId="7D39C9F2" w14:textId="77777777" w:rsidR="00615946" w:rsidRDefault="009C6C27">
            <w:r>
              <w:rPr>
                <w:rFonts w:ascii="Georgia" w:eastAsia="Georgia" w:hAnsi="Georgia" w:cs="Georgia"/>
                <w:color w:val="8A8D8F"/>
                <w:sz w:val="16"/>
                <w:szCs w:val="16"/>
              </w:rPr>
              <w:t>Prepared by (name, title)</w:t>
            </w:r>
          </w:p>
        </w:tc>
        <w:tc>
          <w:tcPr>
            <w:tcW w:w="5040" w:type="dxa"/>
            <w:tcMar>
              <w:left w:w="200" w:type="dxa"/>
            </w:tcMar>
          </w:tcPr>
          <w:p w14:paraId="2D055628" w14:textId="77777777" w:rsidR="00615946" w:rsidRDefault="00615946">
            <w:pPr>
              <w:pBdr>
                <w:bottom w:val="single" w:sz="4" w:space="2" w:color="0A1A33"/>
              </w:pBdr>
              <w:spacing w:before="260"/>
            </w:pPr>
          </w:p>
          <w:p w14:paraId="40C6FF25" w14:textId="77777777" w:rsidR="00615946" w:rsidRDefault="009C6C27">
            <w:r>
              <w:rPr>
                <w:rFonts w:ascii="Georgia" w:eastAsia="Georgia" w:hAnsi="Georgia" w:cs="Georgia"/>
                <w:color w:val="8A8D8F"/>
                <w:sz w:val="16"/>
                <w:szCs w:val="16"/>
              </w:rPr>
              <w:t>Date</w:t>
            </w:r>
          </w:p>
        </w:tc>
      </w:tr>
    </w:tbl>
    <w:p w14:paraId="3046065C" w14:textId="77777777" w:rsidR="009C6C27" w:rsidRDefault="009C6C27"/>
    <w:sectPr w:rsidR="009C6C27">
      <w:footerReference w:type="default" r:id="rId7"/>
      <w:pgSz w:w="12240" w:h="15840"/>
      <w:pgMar w:top="108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FA255" w14:textId="77777777" w:rsidR="009C6C27" w:rsidRDefault="009C6C27">
      <w:r>
        <w:separator/>
      </w:r>
    </w:p>
  </w:endnote>
  <w:endnote w:type="continuationSeparator" w:id="0">
    <w:p w14:paraId="4C362927" w14:textId="77777777" w:rsidR="009C6C27" w:rsidRDefault="009C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2DEB" w14:textId="77777777" w:rsidR="00615946" w:rsidRDefault="00615946">
    <w:pPr>
      <w:pBdr>
        <w:bottom w:val="single" w:sz="4" w:space="2" w:color="D3D5D7"/>
      </w:pBdr>
      <w:spacing w:before="60"/>
    </w:pPr>
  </w:p>
  <w:p w14:paraId="1DE2602C" w14:textId="77777777" w:rsidR="00615946" w:rsidRDefault="009C6C27">
    <w:pPr>
      <w:jc w:val="center"/>
    </w:pPr>
    <w:r>
      <w:rPr>
        <w:rFonts w:ascii="Georgia" w:eastAsia="Georgia" w:hAnsi="Georgia" w:cs="Georgia"/>
        <w:color w:val="8A8D8F"/>
        <w:sz w:val="15"/>
        <w:szCs w:val="15"/>
      </w:rPr>
      <w:t xml:space="preserve">By-the-Book Workplace Investigations   ·   Private &amp; Confidential   ·   Page </w:t>
    </w:r>
    <w:r>
      <w:rPr>
        <w:rFonts w:ascii="Georgia" w:eastAsia="Georgia" w:hAnsi="Georgia" w:cs="Georgia"/>
        <w:color w:val="8A8D8F"/>
        <w:sz w:val="15"/>
        <w:szCs w:val="15"/>
      </w:rPr>
      <w:fldChar w:fldCharType="begin"/>
    </w:r>
    <w:r>
      <w:rPr>
        <w:rFonts w:ascii="Georgia" w:eastAsia="Georgia" w:hAnsi="Georgia" w:cs="Georgia"/>
        <w:color w:val="8A8D8F"/>
        <w:sz w:val="15"/>
        <w:szCs w:val="15"/>
      </w:rPr>
      <w:instrText>PAGE</w:instrText>
    </w:r>
    <w:r>
      <w:rPr>
        <w:rFonts w:ascii="Georgia" w:eastAsia="Georgia" w:hAnsi="Georgia" w:cs="Georgia"/>
        <w:color w:val="8A8D8F"/>
        <w:sz w:val="15"/>
        <w:szCs w:val="15"/>
      </w:rPr>
      <w:fldChar w:fldCharType="separate"/>
    </w:r>
    <w:r w:rsidR="005877AA">
      <w:rPr>
        <w:rFonts w:ascii="Georgia" w:eastAsia="Georgia" w:hAnsi="Georgia" w:cs="Georgia"/>
        <w:noProof/>
        <w:color w:val="8A8D8F"/>
        <w:sz w:val="15"/>
        <w:szCs w:val="15"/>
      </w:rPr>
      <w:t>1</w:t>
    </w:r>
    <w:r>
      <w:rPr>
        <w:rFonts w:ascii="Georgia" w:eastAsia="Georgia" w:hAnsi="Georgia" w:cs="Georgia"/>
        <w:color w:val="8A8D8F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B2EB" w14:textId="77777777" w:rsidR="009C6C27" w:rsidRDefault="009C6C27">
      <w:r>
        <w:separator/>
      </w:r>
    </w:p>
  </w:footnote>
  <w:footnote w:type="continuationSeparator" w:id="0">
    <w:p w14:paraId="7E9DCEF9" w14:textId="77777777" w:rsidR="009C6C27" w:rsidRDefault="009C6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444CF"/>
    <w:multiLevelType w:val="hybridMultilevel"/>
    <w:tmpl w:val="F3CEC272"/>
    <w:lvl w:ilvl="0" w:tplc="03E27234">
      <w:start w:val="1"/>
      <w:numFmt w:val="bullet"/>
      <w:lvlText w:val="●"/>
      <w:lvlJc w:val="left"/>
      <w:pPr>
        <w:ind w:left="720" w:hanging="360"/>
      </w:pPr>
    </w:lvl>
    <w:lvl w:ilvl="1" w:tplc="D6028C64">
      <w:start w:val="1"/>
      <w:numFmt w:val="bullet"/>
      <w:lvlText w:val="○"/>
      <w:lvlJc w:val="left"/>
      <w:pPr>
        <w:ind w:left="1440" w:hanging="360"/>
      </w:pPr>
    </w:lvl>
    <w:lvl w:ilvl="2" w:tplc="60702706">
      <w:start w:val="1"/>
      <w:numFmt w:val="bullet"/>
      <w:lvlText w:val="■"/>
      <w:lvlJc w:val="left"/>
      <w:pPr>
        <w:ind w:left="2160" w:hanging="360"/>
      </w:pPr>
    </w:lvl>
    <w:lvl w:ilvl="3" w:tplc="7E225D6C">
      <w:start w:val="1"/>
      <w:numFmt w:val="bullet"/>
      <w:lvlText w:val="●"/>
      <w:lvlJc w:val="left"/>
      <w:pPr>
        <w:ind w:left="2880" w:hanging="360"/>
      </w:pPr>
    </w:lvl>
    <w:lvl w:ilvl="4" w:tplc="7BAE4152">
      <w:start w:val="1"/>
      <w:numFmt w:val="bullet"/>
      <w:lvlText w:val="○"/>
      <w:lvlJc w:val="left"/>
      <w:pPr>
        <w:ind w:left="3600" w:hanging="360"/>
      </w:pPr>
    </w:lvl>
    <w:lvl w:ilvl="5" w:tplc="4C362308">
      <w:start w:val="1"/>
      <w:numFmt w:val="bullet"/>
      <w:lvlText w:val="■"/>
      <w:lvlJc w:val="left"/>
      <w:pPr>
        <w:ind w:left="4320" w:hanging="360"/>
      </w:pPr>
    </w:lvl>
    <w:lvl w:ilvl="6" w:tplc="573C0FA2">
      <w:start w:val="1"/>
      <w:numFmt w:val="bullet"/>
      <w:lvlText w:val="●"/>
      <w:lvlJc w:val="left"/>
      <w:pPr>
        <w:ind w:left="5040" w:hanging="360"/>
      </w:pPr>
    </w:lvl>
    <w:lvl w:ilvl="7" w:tplc="1DA6F4C2">
      <w:start w:val="1"/>
      <w:numFmt w:val="bullet"/>
      <w:lvlText w:val="●"/>
      <w:lvlJc w:val="left"/>
      <w:pPr>
        <w:ind w:left="5760" w:hanging="360"/>
      </w:pPr>
    </w:lvl>
    <w:lvl w:ilvl="8" w:tplc="6706E5FC">
      <w:start w:val="1"/>
      <w:numFmt w:val="bullet"/>
      <w:lvlText w:val="●"/>
      <w:lvlJc w:val="left"/>
      <w:pPr>
        <w:ind w:left="6480" w:hanging="360"/>
      </w:pPr>
    </w:lvl>
  </w:abstractNum>
  <w:num w:numId="1" w16cid:durableId="19280742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46"/>
    <w:rsid w:val="005877AA"/>
    <w:rsid w:val="00615946"/>
    <w:rsid w:val="009C6C27"/>
    <w:rsid w:val="00FC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80357"/>
  <w15:docId w15:val="{9B862A5F-6C69-458B-BA24-63CC51D7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Marquita Booker</cp:lastModifiedBy>
  <cp:revision>2</cp:revision>
  <dcterms:created xsi:type="dcterms:W3CDTF">2026-08-11T02:36:00Z</dcterms:created>
  <dcterms:modified xsi:type="dcterms:W3CDTF">2026-08-11T02:36:00Z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2d079719-497c-40e1-ae1b-64e021e76bcb</vt:lpwstr>
  </property>
</Properties>
</file>